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2020E" w14:textId="5AB3B9B6" w:rsidR="00946F02" w:rsidRPr="00AD22EA" w:rsidRDefault="203A3579" w:rsidP="203A3579">
      <w:pPr>
        <w:spacing w:line="276" w:lineRule="auto"/>
        <w:jc w:val="center"/>
        <w:rPr>
          <w:rFonts w:eastAsiaTheme="minorEastAsia"/>
          <w:b/>
          <w:bCs/>
          <w:sz w:val="24"/>
          <w:szCs w:val="24"/>
          <w:lang w:val="el-GR"/>
        </w:rPr>
      </w:pPr>
      <w:bookmarkStart w:id="0" w:name="_GoBack"/>
      <w:bookmarkEnd w:id="0"/>
      <w:r w:rsidRPr="203A3579">
        <w:rPr>
          <w:rFonts w:eastAsiaTheme="minorEastAsia"/>
          <w:b/>
          <w:bCs/>
          <w:sz w:val="24"/>
          <w:szCs w:val="24"/>
          <w:lang w:val="el-GR"/>
        </w:rPr>
        <w:t xml:space="preserve">Χαιρετισμός της Υπουργού Πολιτισμού και Αθλητισμού Δρ Λίνας Μενδώνη </w:t>
      </w:r>
    </w:p>
    <w:p w14:paraId="6F4975D3" w14:textId="77777777" w:rsidR="00946F02" w:rsidRPr="00AD22EA" w:rsidRDefault="203A3579" w:rsidP="203A3579">
      <w:pPr>
        <w:spacing w:line="276" w:lineRule="auto"/>
        <w:jc w:val="center"/>
        <w:rPr>
          <w:rFonts w:eastAsiaTheme="minorEastAsia"/>
          <w:b/>
          <w:bCs/>
          <w:sz w:val="24"/>
          <w:szCs w:val="24"/>
          <w:lang w:val="el-GR"/>
        </w:rPr>
      </w:pPr>
      <w:r w:rsidRPr="203A3579">
        <w:rPr>
          <w:rFonts w:eastAsiaTheme="minorEastAsia"/>
          <w:b/>
          <w:bCs/>
          <w:sz w:val="24"/>
          <w:szCs w:val="24"/>
          <w:lang w:val="el-GR"/>
        </w:rPr>
        <w:t xml:space="preserve">στην εκδήλωση παρουσίασης του Έργου και της Διαδικτυακής Πύλης </w:t>
      </w:r>
    </w:p>
    <w:p w14:paraId="31D3C6BD" w14:textId="42346668" w:rsidR="00946F02" w:rsidRPr="00AD22EA" w:rsidRDefault="203A3579" w:rsidP="203A3579">
      <w:pPr>
        <w:spacing w:line="276" w:lineRule="auto"/>
        <w:jc w:val="center"/>
        <w:rPr>
          <w:rFonts w:eastAsiaTheme="minorEastAsia"/>
          <w:b/>
          <w:bCs/>
          <w:sz w:val="24"/>
          <w:szCs w:val="24"/>
          <w:lang w:val="el-GR"/>
        </w:rPr>
      </w:pPr>
      <w:r w:rsidRPr="203A3579">
        <w:rPr>
          <w:rFonts w:eastAsiaTheme="minorEastAsia"/>
          <w:b/>
          <w:bCs/>
          <w:sz w:val="24"/>
          <w:szCs w:val="24"/>
          <w:lang w:val="el-GR"/>
        </w:rPr>
        <w:t xml:space="preserve">του Αρχαιολογικού Κτηματολογίου, </w:t>
      </w:r>
    </w:p>
    <w:p w14:paraId="7EBA38C9" w14:textId="51EDFB70" w:rsidR="0025382A" w:rsidRPr="00AD22EA" w:rsidRDefault="203A3579" w:rsidP="203A3579">
      <w:pPr>
        <w:spacing w:line="276" w:lineRule="auto"/>
        <w:jc w:val="center"/>
        <w:rPr>
          <w:rFonts w:eastAsiaTheme="minorEastAsia"/>
          <w:b/>
          <w:bCs/>
          <w:sz w:val="24"/>
          <w:szCs w:val="24"/>
          <w:lang w:val="el-GR"/>
        </w:rPr>
      </w:pPr>
      <w:r w:rsidRPr="203A3579">
        <w:rPr>
          <w:rFonts w:eastAsiaTheme="minorEastAsia"/>
          <w:b/>
          <w:bCs/>
          <w:sz w:val="24"/>
          <w:szCs w:val="24"/>
          <w:lang w:val="el-GR"/>
        </w:rPr>
        <w:t>Μουσείο Ακρόπολης, 17 Ιουνίου 2021</w:t>
      </w:r>
    </w:p>
    <w:p w14:paraId="49523CD7" w14:textId="77777777" w:rsidR="00946F02" w:rsidRPr="00AD22EA" w:rsidRDefault="00946F02" w:rsidP="203A3579">
      <w:pPr>
        <w:spacing w:line="276" w:lineRule="auto"/>
        <w:jc w:val="both"/>
        <w:rPr>
          <w:rFonts w:eastAsiaTheme="minorEastAsia"/>
          <w:sz w:val="24"/>
          <w:szCs w:val="24"/>
          <w:lang w:val="el-GR"/>
        </w:rPr>
      </w:pPr>
    </w:p>
    <w:p w14:paraId="2526A92D" w14:textId="7C2C44A4" w:rsidR="0033386A"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t>Αγαπητοί συνάδελφοι και φίλοι, κυρίες και κύριοι,</w:t>
      </w:r>
    </w:p>
    <w:p w14:paraId="19AFCA49" w14:textId="39F81A37" w:rsidR="00611098"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t>Η διασφάλιση του δικαιώματος όλων των Ευρωπαίων πολιτών, συμπεριλαμβανομένης της ερευνητικής και εκπαιδευτικής κοινότητας, για ελεύθερη, άμεση και διαρκή πρόσβαση τόσο στο πολιτιστικό απόθεμα της χώρας τους, όσο και στο σύνολο της κοινής ευρωπαϊκής πολιτιστικής κληρονομιάς είναι ένα ζήτημα θεμελιώδες και πάντα εξαιρετικά επίκαιρο. Αναδεικνύεται δε πλέον σε βασικό άξονα στρατηγικής στον Τομέα του Πολιτισμού σε πανευρωπαϊκό επίπεδο, διαπνέοντας τις κοινοτικές συστάσεις και οδηγίες, τις επιμέρους πολιτικές και, βεβαίως, τα χρηματοδοτικά προγράμματα.</w:t>
      </w:r>
    </w:p>
    <w:p w14:paraId="49915975" w14:textId="77777777" w:rsidR="00C002D4"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t xml:space="preserve">Αποτελεί κοινό τόπο ότι οι εφαρμογές της ψηφιακής τεχνολογίας και του Διαδικτύου στον Πολιτισμό συνεισφέρουν δυναμικά στην ορθολογική, βιώσιμη και παραγωγική διαχείριση, ανάδειξη και προστασία της πολιτιστικής κληρονομιάς, ενώ παράλληλα δημιουργούν νέες δυνατότητες και ευκαιρίες πρόσβασης στα πολιτιστικά αγαθά, με τρόπους που δεν είναι εφικτοί από τα παραδοσιακά και συμβατικά μέσα. Λειτουργούν, έτσι, συμπληρωματικά και ενισχυτικά προς αυτά, συνεισφέροντας στον εμπλουτισμό της ερευνητικής και εκπαιδευτικής διαδικασίας, αλλά και της επιμόρφωσης και της αισθητικής αγωγής του ευρύτερου κοινού με το τεράστιο γνωσιακό, αξιακό και συγκινησιακό απόθεμα της πολιτιστικής κληρονομιάς. </w:t>
      </w:r>
    </w:p>
    <w:p w14:paraId="4C5ED3C5" w14:textId="546E1289" w:rsidR="003F47C3"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t>Την περίοδο της πανδημίας, όταν οι υγειονομικές συνθήκες επέβαλαν την πλήρη σχεδόν φυσική και κοινωνική αποστασιοποίηση, οι ψηφιακές τεχνολογίες – παρά τους δεδομένους εγγενείς τους περιορισμούς – αποτέλεσαν για σημαντικό διάστημα την μοναδική δίοδο επαφής του κοινού με το πολιτιστικό απόθεμα και το κύριο μέσο μαζικής πολιτιστικής έκφρασης και επικοινωνίας. Σε όσους πολιτιστικούς οργανισμούς διέθεταν την αναγκαία σχετική ετοιμότητα και τεχνογνωσία, προσέφεραν σημαντικό συγκριτικό πλεονέκτημα και υψηλή προστιθέμενη αξία, δίνοντάς τους τη δυνατότητα όχι μόνο να αντεπεξέλθουν στις έκτακτες συνθήκες αποτελεσματικότερα και με μικρότερες απώλειες, αλλά ακόμη και να διευρύνουν τους τρόπους προσέγγισης και την απήχησή τους στο κοινό, δημιουργώντας τις προϋποθέσεις για ενίσχυση της ανθεκτικότητας και περαιτέρω ανάπτυξή τους στην μετά την κρίση εποχή.</w:t>
      </w:r>
    </w:p>
    <w:p w14:paraId="28E6D4AE" w14:textId="6F0B76E8" w:rsidR="003F47C3"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t xml:space="preserve">Ομοίως και για την επιφορτισμένη με την προστασία και ανάδειξη της πολιτιστικής κληρονομιάς και την υποστήριξη της σύγχρονης πολιτιστικής δημιουργίας κεντρική Δημόσια Διοίκηση, η αξιοποίηση των νέων τεχνολογιών Πληροφορικής και Τηλεπικοινωνιών αποτελεί καθοριστικό παράγοντα στην </w:t>
      </w:r>
      <w:r w:rsidRPr="203A3579">
        <w:rPr>
          <w:rFonts w:eastAsiaTheme="minorEastAsia"/>
          <w:sz w:val="24"/>
          <w:szCs w:val="24"/>
          <w:lang w:val="el-GR"/>
        </w:rPr>
        <w:lastRenderedPageBreak/>
        <w:t>επίτευξη των στόχων της κυβερνητικής πολιτικής, που αφορούν στην αναδιοργάνωση και στον εκσυγχρονισμό, στην ορθολογική διαχείριση των πόρων, στη λειτουργική διαφάνεια και στην αποτελεσματική εξυπηρέτηση του πολίτη. Επί πλέον, συνιστά βασική και αναγκαία προϋπόθεση, προκειμένου ο Τομέας του Πολιτισμού να συμβάλει με την υψηλή του δυναμική στη συνολική βελτίωση της ανταγωνιστικότητας, στην προσέλκυση επενδύσεων, στην αύξηση της παραγωγικότητας και των θέσεων εργασίας, και εν γένει στην οικονομική και κοινωνική ανάπτυξη της Χώρας κατά την γεμάτη προκλήσεις περίοδο μετά την οικονομική και υγειονομική κρίση.</w:t>
      </w:r>
    </w:p>
    <w:p w14:paraId="22A026C7" w14:textId="093BF222" w:rsidR="001059D4"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t>Όσον αφορά στην πολιτιστική κληρονομιά, και υπό το πρίσμα ότι αυτή συνιστά τόσο πολιτισμικό αγαθό, όσο και αναπτυξιακό κοινωνικό κεφάλαιο και εθνική περιουσία, το Υπουργείο Πολιτισμού και Αθλητισμού πριν από δέκα χρόνια έθεσε συστηματικά και αποφασιστικά στο επίκεντρο της στρατηγικής και των σχεδιασμών του την ενσωμάτωση και εμπέδωση των ψηφιακών τεχνολογιών στις επιστημονικές και διοικητικές διαδικασίες και πρακτικές προστασίας, διαχείρισης και ανάδειξής της. Επιδίωξε μάλιστα τη μέγιστη και βέλτιστη δυνατή αξιοποίηση των χρηματοδοτικών ευκαιριών που προσέφεραν και εξακολουθούν να προσφέρουν οι Κοινοτικοί Πόροι. Με συγχρηματοδότηση από τα Ευρωπαϊκά Διαρθρωτικά Ταμεία προχώρησε στο σχεδιασμό και στην υλοποίηση σημαντικού αριθμού έργων στο πεδίο της ψηφιοποίησης και ψηφιακής διαχείρισης της πολιτιστικής κληρονομιάς, σε μια προσπάθεια που υποστηρίχθηκε από διαδοχικές κυβερνήσεις και πολιτικές ηγεσίες, με μία μόνο σύντομη, αναχρονιστική, όσο και ακατανόητη παρένθεση με ονοματεπώνυμο, το 2018 και 2019, η οποία έθεσε σε μεγάλο κίνδυνο, αλλά ευτυχώς δεν κατάφερε να ακυρώσει – τη μακροχρόνια προσπάθεια και τη μεγάλη επένδυση σε μόχθο και σε δημόσιο χρήμα.</w:t>
      </w:r>
    </w:p>
    <w:p w14:paraId="2B947E26" w14:textId="77777777" w:rsidR="00DB4F4A"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t>Τα δύο μεγαλύτερα σε έκταση και σημασία έργα υποδομής, στην υλοποίηση των οποίων συντέλεσε το σύνολο σχεδόν των Κεντρικών, Περιφερειακών και Ειδικών Περιφερειακών Υπηρεσιών του Υπουργείου και του προσωπικού τους, υπό την επιστημονική καθοδήγηση και εποπτεία και το διοικητικό συντονισμό της Διεύθυνσης Διαχείρισης Εθνικού Αρχείου Μνημείων, καθώς και σημαντικός αριθμός εξωτερικών συνεργατών από τον ακαδημαϊκό, τον ευρύτερο Δημόσιο και τον Ιδιωτικό Τομέα και προσωπικό ορισμένου χρόνου, ήταν ο Εμπλουτισμός των Ψηφιακών Συλλογών των Κινητών Μνημείων και το Αρχαιολογικό Κτηματολόγιο.</w:t>
      </w:r>
    </w:p>
    <w:p w14:paraId="0FB07809" w14:textId="237E8803" w:rsidR="001059D4"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t>Τα δύο αυτά έργα, που προέβλεπαν παράλληλα την ανάπτυξη και νέων ολοκληρωμένων πληροφοριακών συστημάτων καταγραφής και διαχείρισης, εντάσσονται από κοινού και λειτουργούν συμπληρωματικά στην προσπάθεια συγκρότησης του Εθνικού Αρχείου Μνημείων. Ενός ψηφιακού αρχείου που θα καλύπτει το σύνολο του πολιτιστικού αποθέματος, και μέσω του οποίου οι Υπηρεσίες του Υπουργείου Πολιτισμού και οι συνεργαζόμενοι φορείς διαχείρισης θα είναι σε θέση να γνωρίζουν ανά πάσα στιγμή την ταυτότητα, τη θέση και την κατάσταση διατήρησης όλων των στοιχείων της υλικής πολιτιστικής κληρονομιάς ανά την Επικράτεια, το νομικό και διαχειριστικό καθεστώς τους, καθώς και με ποιο τρόπο αυτά είναι προσβάσιμα και αξιοποιήσιμα. Η ύπαρξη ενός τέτοιου εργαλείου καθιστά δυνατό τον αναλυτικό και τεκμηριωμένο σχεδιασμό της προστασίας και ανάδειξης της πολιτιστικής κληρονομιάς και της εθνικής περιουσίας μέσω της πλήρους αξιοποίησης σύνθετων δεδομένων, αλλά και τη συνεχή αναπροσαρμογή της στρατηγικής βάσει των εκάστοτε αναγκών σε ένα συνεχώς μεταβαλλόμενο κοινωνικό-οικονομικό πλαίσιο. Υπό αυτό το πρίσμα, το Εθνικό Αρχείο Μνημείων αποτελεί σημαντικότατο εργαλείο και αφετηρία αναπτυξιακής δυναμικής.</w:t>
      </w:r>
    </w:p>
    <w:p w14:paraId="766EF15B" w14:textId="788DE26D" w:rsidR="001F5C9A"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lastRenderedPageBreak/>
        <w:t>Αισίως και τα δύο αυτά έργα έφτασαν στην ολοκλήρωση της κύριας φάσης υλοποίησής τους και αποδίδονται σε παραγωγική λειτουργία και χρήση τόσο από τις Υπηρεσίες του Υπουργείου Πολιτισμού και Αθλητισμού, όσο και από την ακαδημαϊκή και εκπαιδευτική κοινότητα, τους φορείς του λοιπού Δημόσιου Τομέα και όλους τους πολίτες. Πριν από λίγο καιρό άνοιξε για το ευρύ κοινό και παρουσιάζει ήδη εντυπωσιακή επισκεψιμότητα η διαδικτυακή πύλη των συλλογών κινητών μνημείων, και σήμερα συμβαίνει το ίδιο με την πύλη του Αρχαιολογικού Κτηματολογίου. Στο περιεχόμενο, στις επιμέρους επιστημονικές και τεχνικές παραμέτρους και στο ιστορικό του έργου θα αναφερθούν αμέσως μετά με αναλυτικό τρόπο η Διευθύντρια και τα στελέχη της Διεύθυνσης Διαχείρισης Εθνικού Αρχείου Μνημείων. Από πλευράς μου θα ήθελα να σταθώ σε ορισμένα μόνο ιδιαίτερα σημαντικά σημεία.</w:t>
      </w:r>
    </w:p>
    <w:p w14:paraId="487C36BA" w14:textId="28AE1F09" w:rsidR="001F5C9A"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t>Η ολοκλήρωση του έργου αναμένεται να δημιουργήσει μια εντελώς νέα δυναμική προς την κατεύθυνση της προστασίας και της αξιοποίησης της πολιτιστικής κληρονομιάς, της προάσπισης της ακίνητης δημόσιας περιουσίας, του εξορθολογισμού του καθεστώτος των απαλλοτριώσεων και των στερήσεων χρήσεων γης και της ελαχιστοποίησης των σχετικών δημόσιων δαπανών. Εκτιμάται, επίσης, ότι θα προκύψει σημαντικότατη εξοικονόμηση πόρων και χρόνου για την έκδοση των προβλεπόμενων γνωμοδοτήσεων και τη διεκπεραίωση των διοικητικών ενεργειών, που αφορούν σε διαδικασίες τοπογραφικής και νομικής τεκμηρίωσης των σχετικών υποθέσεων.</w:t>
      </w:r>
    </w:p>
    <w:p w14:paraId="01CC538E" w14:textId="3AE587D6" w:rsidR="00E23131"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t>Μέσω του Αρχαιολογικού Κτηματολογίου το Υπουργείο Πολιτισμού και Αθλητισμού θα συμβάλει επίσης ενεργά στην ευρύτερη προσπάθεια ολοκλήρωσης του Εθνικού Κτηματολογίου, στη δημιουργία Τράπεζας Γης και σε άλλες συναφείς πλατφόρμες διαχείρισης και αξιοποίησης της δημόσιας περιουσίας. Μπορεί, ακόμη, να ανταποκριθεί στις ανάγκες και τις υποχρεώσεις της παροχής άμεσης και δωρεάν πρόσβασης στη δημόσια πληροφορία σύμφωνα με την εθνική και κοινοτική νομοθεσία (Οδηγία INSPIRE, ανοιχτά δεδομένα). Μέσω της διαδικτυακής πύλης που παρουσιάζεται σήμερα και των υπηρεσιών τεχνικής διαλειτουργικότητας με συναφή συστήματα του Δημόσιου Τομέα που ήδη εξειδικεύεται, κάθε ενδιαφερόμενος – Υπηρεσία, φορέας, εταιρεία, ιδιώτης – μπορεί πλέον να ενημερώνεται με άμεσο και έγκυρο τρόπο για τα ακίνητα μνημεία και τους αρχαιολογικούς χώρους κάθε περιοχής της Επικράτειας, το καθεστώς και τους ειδικούς όρους προστασίας τους, ώστε να γνωρίζει τις δυνατότητες και τους περιορισμούς στην αξιοποίηση της γης σε μια συγκεκριμένη περιοχή. Η κεφαλαιώδης σημασία του Αρχαιολογικού Κτηματολογίου για την ομαλή σχεδίαση και εκτέλεση δημόσιων έργων, αλλά και την ανάπτυξη των επενδύσεων σε μια Χώρα, όπου η συνεχής κατοίκηση από την αρχαιότητα μέχρι σήμερα έχει δημιουργήσει ένα τεράστιο αρχαιολογικό παλίμψηστο, καθίσταται προφανής. Τέλος, δεν θα πρέπει να υποβαθμίζεται η αξία του έργου στον τομέα της επιστημονικής έρευνας και μελέτης της πολιτιστικής κληρονομιάς, καθώς και στην προώθηση και διάχυση της γνώσης για εκπαιδευτικούς και τουριστικούς σκοπούς, καθώς και για την ανάπτυξη συναφών υπηρεσιών προστιθέμενης αξίας.</w:t>
      </w:r>
    </w:p>
    <w:p w14:paraId="072B1A0B" w14:textId="7CFE705C" w:rsidR="001059D4"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t xml:space="preserve">Σήμερα, λοιπόν, κλείνει τυπικά η πρώτη αυτή και κύρια φάση του έργου, ωστόσο αυτό σε καμία περίπτωση δεν τελειώνει εδώ. Αντιθέτως, τώρα εισέρχεται στο στάδιο της ωριμότητας και της παραγωγικής λειτουργίας, του συνεχούς εμπλουτισμού και της διεύρυνσης του περιεχομένου και των υπηρεσιών του. Ήδη σχεδιάζονται οι επεκτάσεις και οι συνέργειές του με τα σχεδιαζόμενα έργα συνολικού ψηφιακού μετασχηματισμού και απλοποίησης των διαδικασιών του Υπουργείου Πολιτισμού και Αθλητισμού υπό την επιτελική εποπτεία και το συντονισμό του Υπουργείου Ψηφιακής Διακυβέρνησης, καθώς και η οργανική του ενσωμάτωση στην κεντρική πύλη παροχής ψηφιακών υπηρεσιών του Δημοσίου </w:t>
      </w:r>
      <w:r w:rsidRPr="203A3579">
        <w:rPr>
          <w:rFonts w:eastAsiaTheme="minorEastAsia"/>
          <w:sz w:val="24"/>
          <w:szCs w:val="24"/>
        </w:rPr>
        <w:t>gov</w:t>
      </w:r>
      <w:r w:rsidRPr="203A3579">
        <w:rPr>
          <w:rFonts w:eastAsiaTheme="minorEastAsia"/>
          <w:sz w:val="24"/>
          <w:szCs w:val="24"/>
          <w:lang w:val="el-GR"/>
        </w:rPr>
        <w:t>.</w:t>
      </w:r>
      <w:r w:rsidRPr="203A3579">
        <w:rPr>
          <w:rFonts w:eastAsiaTheme="minorEastAsia"/>
          <w:sz w:val="24"/>
          <w:szCs w:val="24"/>
        </w:rPr>
        <w:t>gr</w:t>
      </w:r>
      <w:r w:rsidRPr="203A3579">
        <w:rPr>
          <w:rFonts w:eastAsiaTheme="minorEastAsia"/>
          <w:sz w:val="24"/>
          <w:szCs w:val="24"/>
          <w:lang w:val="el-GR"/>
        </w:rPr>
        <w:t>.</w:t>
      </w:r>
    </w:p>
    <w:p w14:paraId="0BF648A7" w14:textId="7341A248" w:rsidR="00685C34" w:rsidRPr="00AD22EA" w:rsidRDefault="203A3579" w:rsidP="203A3579">
      <w:pPr>
        <w:spacing w:line="276" w:lineRule="auto"/>
        <w:jc w:val="both"/>
        <w:rPr>
          <w:rFonts w:eastAsiaTheme="minorEastAsia"/>
          <w:sz w:val="24"/>
          <w:szCs w:val="24"/>
          <w:lang w:val="el-GR"/>
        </w:rPr>
      </w:pPr>
      <w:r w:rsidRPr="203A3579">
        <w:rPr>
          <w:rFonts w:eastAsiaTheme="minorEastAsia"/>
          <w:sz w:val="24"/>
          <w:szCs w:val="24"/>
          <w:lang w:val="el-GR"/>
        </w:rPr>
        <w:lastRenderedPageBreak/>
        <w:t>Κλείνοντας, οφείλω να εκφράσω θερμές ευχαριστίες και πολλά συγχαρητήρια, στις εκατοντάδες των ανθρώπων εντός και εκτός Υπουργείου, που από διαφορετικές θέσεις και με ποικίλους ρόλους συντέλεσαν στη συνολική επιτυχή υλοποίηση και των δύο αυτών θεμελιώδους σημασίας έργων, στα στελέχη των αρμόδιων Διαχειριστικών Αρχών που κατέστησαν δυνατή τη χρηματοδότησή τους από Κοινοτικούς πόρους του ΕΣΠΑ σε δύο διαδοχικές Προγραμματικές Περιόδους, πρωτίστως όμως προς το προσωπικό και τα στελέχη της υπηρεσιακής ηγεσίας της Διεύθυνσης Διαχείρισης Εθνικού Αρχείου Μνημείων, που διαδοχικά, με απίστευτο μόχθο και συχνά με βαρύ προσωπικό κόστος σε κάποιες περιπτώσεις κατόρθωσαν να υπερκεράσουν τις αντιξοότητες και τις αντίρροπες δυνάμεις της αδράνειας και της συντήρησης, προκειμένου να δημιουργήσουν τις απαραίτητες υποδομές στο Υπουργείο Πολιτισμού και Αθλητισμού για την πολιτιστική διαχείριση του 21</w:t>
      </w:r>
      <w:r w:rsidRPr="203A3579">
        <w:rPr>
          <w:rFonts w:eastAsiaTheme="minorEastAsia"/>
          <w:sz w:val="24"/>
          <w:szCs w:val="24"/>
          <w:vertAlign w:val="superscript"/>
          <w:lang w:val="el-GR"/>
        </w:rPr>
        <w:t>ου</w:t>
      </w:r>
      <w:r w:rsidRPr="203A3579">
        <w:rPr>
          <w:rFonts w:eastAsiaTheme="minorEastAsia"/>
          <w:sz w:val="24"/>
          <w:szCs w:val="24"/>
          <w:lang w:val="el-GR"/>
        </w:rPr>
        <w:t xml:space="preserve"> αιώνα.</w:t>
      </w:r>
    </w:p>
    <w:p w14:paraId="346ED4CD" w14:textId="77777777" w:rsidR="00A85C0A" w:rsidRPr="00AD22EA" w:rsidRDefault="00A85C0A" w:rsidP="203A3579">
      <w:pPr>
        <w:spacing w:line="276" w:lineRule="auto"/>
        <w:jc w:val="both"/>
        <w:rPr>
          <w:rFonts w:eastAsiaTheme="minorEastAsia"/>
          <w:sz w:val="24"/>
          <w:szCs w:val="24"/>
          <w:lang w:val="el-GR"/>
        </w:rPr>
      </w:pPr>
    </w:p>
    <w:p w14:paraId="192A435E" w14:textId="3A5CB781" w:rsidR="00D50302" w:rsidRPr="00AD22EA" w:rsidRDefault="00D50302" w:rsidP="00AD22EA">
      <w:pPr>
        <w:spacing w:line="276" w:lineRule="auto"/>
        <w:jc w:val="both"/>
        <w:rPr>
          <w:rFonts w:ascii="Palatino Linotype" w:hAnsi="Palatino Linotype"/>
          <w:lang w:val="el-GR"/>
        </w:rPr>
      </w:pPr>
    </w:p>
    <w:sectPr w:rsidR="00D50302" w:rsidRPr="00AD22EA" w:rsidSect="00CC1C1E">
      <w:footerReference w:type="default" r:id="rId7"/>
      <w:headerReference w:type="first" r:id="rId8"/>
      <w:pgSz w:w="11906" w:h="16838" w:code="9"/>
      <w:pgMar w:top="720"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32F9E" w14:textId="77777777" w:rsidR="000C5844" w:rsidRDefault="000C5844" w:rsidP="008428A9">
      <w:pPr>
        <w:spacing w:after="0" w:line="240" w:lineRule="auto"/>
      </w:pPr>
      <w:r>
        <w:separator/>
      </w:r>
    </w:p>
  </w:endnote>
  <w:endnote w:type="continuationSeparator" w:id="0">
    <w:p w14:paraId="31CEC797" w14:textId="77777777" w:rsidR="000C5844" w:rsidRDefault="000C5844"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516927"/>
      <w:docPartObj>
        <w:docPartGallery w:val="Page Numbers (Bottom of Page)"/>
        <w:docPartUnique/>
      </w:docPartObj>
    </w:sdtPr>
    <w:sdtEndPr>
      <w:rPr>
        <w:noProof/>
      </w:rPr>
    </w:sdtEndPr>
    <w:sdtContent>
      <w:p w14:paraId="694B0992" w14:textId="2C1C90BF" w:rsidR="00F04F6D" w:rsidRDefault="00F04F6D" w:rsidP="00B91B1D">
        <w:pPr>
          <w:pStyle w:val="a4"/>
          <w:jc w:val="center"/>
        </w:pPr>
        <w:r>
          <w:fldChar w:fldCharType="begin"/>
        </w:r>
        <w:r>
          <w:instrText xml:space="preserve"> PAGE   \* MERGEFORMAT </w:instrText>
        </w:r>
        <w:r>
          <w:fldChar w:fldCharType="separate"/>
        </w:r>
        <w:r w:rsidR="009D449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E7834" w14:textId="77777777" w:rsidR="000C5844" w:rsidRDefault="000C5844" w:rsidP="008428A9">
      <w:pPr>
        <w:spacing w:after="0" w:line="240" w:lineRule="auto"/>
      </w:pPr>
      <w:r>
        <w:separator/>
      </w:r>
    </w:p>
  </w:footnote>
  <w:footnote w:type="continuationSeparator" w:id="0">
    <w:p w14:paraId="5EAD4DB2" w14:textId="77777777" w:rsidR="000C5844" w:rsidRDefault="000C5844"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2"/>
    </w:tblGrid>
    <w:tr w:rsidR="00F04F6D" w:rsidRPr="00C002D4" w14:paraId="5BEAD441" w14:textId="77777777" w:rsidTr="203A3579">
      <w:tc>
        <w:tcPr>
          <w:tcW w:w="5000" w:type="pct"/>
        </w:tcPr>
        <w:p w14:paraId="6CBCA9EF" w14:textId="77777777" w:rsidR="00F04F6D" w:rsidRDefault="00F04F6D" w:rsidP="00D50302">
          <w:pPr>
            <w:pStyle w:val="a3"/>
            <w:tabs>
              <w:tab w:val="center" w:pos="4140"/>
            </w:tabs>
            <w:jc w:val="center"/>
            <w:rPr>
              <w:rFonts w:ascii="Palatino Linotype" w:hAnsi="Palatino Linotype" w:cs="Tahoma"/>
              <w:b/>
            </w:rPr>
          </w:pP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w:instrText>
          </w:r>
          <w:r w:rsidRPr="203A3579">
            <w:rPr>
              <w:rFonts w:ascii="Palatino Linotype" w:hAnsi="Palatino Linotype" w:cs="Palatino Linotype"/>
            </w:rPr>
            <w:instrText>ÂµÃÂ¸ÃÂ½ÃÂ¿ÃÆ’ÃÂ·ÃÂ¼Ã</w:instrText>
          </w:r>
          <w:r w:rsidRPr="203A3579">
            <w:rPr>
              <w:rFonts w:ascii="Palatino Linotype" w:hAnsi="Palatino Linotype"/>
            </w:rPr>
            <w:instrText xml:space="preserve">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sidRPr="203A3579">
            <w:rPr>
              <w:rFonts w:ascii="Palatino Linotype" w:hAnsi="Palatino Linotype"/>
            </w:rPr>
            <w:fldChar w:fldCharType="begin"/>
          </w:r>
          <w:r w:rsidRPr="203A3579">
            <w:rPr>
              <w:rFonts w:ascii="Palatino Linotype" w:hAnsi="Palatino Linotype"/>
            </w:rPr>
            <w:instrText xml:space="preserve"> INCLUDEPICTURE  "http://4.bp.blogspot.com/_iiluUEluqEA/R9azs5KQbgI/AAAAAAAAAAM/iQoPv6m4Jwo/s1600/ÃÂµÃÂ¸ÃÂ½ÃÂ¿ÃÆ’ÃÂ·ÃÂ¼ÃÂ¿.jpg" \* MERGEFORMATINET </w:instrText>
          </w:r>
          <w:r w:rsidRPr="203A3579">
            <w:rPr>
              <w:rFonts w:ascii="Palatino Linotype" w:hAnsi="Palatino Linotype"/>
            </w:rPr>
            <w:fldChar w:fldCharType="separate"/>
          </w:r>
          <w:r>
            <w:rPr>
              <w:noProof/>
              <w:lang w:val="el-GR" w:eastAsia="el-GR"/>
            </w:rPr>
            <w:drawing>
              <wp:inline distT="0" distB="0" distL="0" distR="0" wp14:anchorId="1F6CD8CB" wp14:editId="4BBBE7E9">
                <wp:extent cx="571500" cy="523875"/>
                <wp:effectExtent l="0" t="0" r="0" b="0"/>
                <wp:docPr id="316575714" name="Εικόνα 316575714" title="[ÎµÎ¸Î½Î¿ÏƒÎ·Î¼Î¿.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1500" cy="523875"/>
                        </a:xfrm>
                        <a:prstGeom prst="rect">
                          <a:avLst/>
                        </a:prstGeom>
                      </pic:spPr>
                    </pic:pic>
                  </a:graphicData>
                </a:graphic>
              </wp:inline>
            </w:drawing>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r w:rsidRPr="203A3579">
            <w:rPr>
              <w:rFonts w:ascii="Palatino Linotype" w:hAnsi="Palatino Linotype"/>
            </w:rPr>
            <w:fldChar w:fldCharType="end"/>
          </w:r>
        </w:p>
        <w:p w14:paraId="1CD02D56" w14:textId="77777777" w:rsidR="00F04F6D" w:rsidRPr="008428A9" w:rsidRDefault="00F04F6D"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79680B4A" w14:textId="77777777" w:rsidR="00F04F6D" w:rsidRPr="008428A9" w:rsidRDefault="00F04F6D"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 ΚΑΙ ΑΘΛΗΤΙΣΜΟΥ</w:t>
          </w:r>
        </w:p>
        <w:p w14:paraId="278607ED" w14:textId="77777777" w:rsidR="00F04F6D" w:rsidRPr="008428A9" w:rsidRDefault="00F04F6D" w:rsidP="00D50302">
          <w:pPr>
            <w:pStyle w:val="a3"/>
            <w:rPr>
              <w:lang w:val="el-GR"/>
            </w:rPr>
          </w:pPr>
        </w:p>
      </w:tc>
    </w:tr>
  </w:tbl>
  <w:p w14:paraId="5ADDB48D" w14:textId="77777777" w:rsidR="00F04F6D" w:rsidRPr="00D50302" w:rsidRDefault="00F04F6D">
    <w:pPr>
      <w:pStyle w:val="a3"/>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9C"/>
    <w:rsid w:val="00003738"/>
    <w:rsid w:val="00012762"/>
    <w:rsid w:val="00015AA8"/>
    <w:rsid w:val="00023291"/>
    <w:rsid w:val="000236D2"/>
    <w:rsid w:val="00024D72"/>
    <w:rsid w:val="00035B35"/>
    <w:rsid w:val="00046EB6"/>
    <w:rsid w:val="00047A2A"/>
    <w:rsid w:val="00050C77"/>
    <w:rsid w:val="000510EE"/>
    <w:rsid w:val="00060495"/>
    <w:rsid w:val="00061B60"/>
    <w:rsid w:val="0006210A"/>
    <w:rsid w:val="000652C5"/>
    <w:rsid w:val="00066302"/>
    <w:rsid w:val="000673BA"/>
    <w:rsid w:val="00067A2F"/>
    <w:rsid w:val="00074F79"/>
    <w:rsid w:val="00082C0C"/>
    <w:rsid w:val="0008408D"/>
    <w:rsid w:val="00092259"/>
    <w:rsid w:val="00097BF3"/>
    <w:rsid w:val="000A038D"/>
    <w:rsid w:val="000A20C3"/>
    <w:rsid w:val="000A7E25"/>
    <w:rsid w:val="000B32C2"/>
    <w:rsid w:val="000C5844"/>
    <w:rsid w:val="000C75CE"/>
    <w:rsid w:val="000D068A"/>
    <w:rsid w:val="000D2171"/>
    <w:rsid w:val="000D2566"/>
    <w:rsid w:val="000D35BF"/>
    <w:rsid w:val="000D62E1"/>
    <w:rsid w:val="000D6E53"/>
    <w:rsid w:val="000D6FF2"/>
    <w:rsid w:val="000E2BEB"/>
    <w:rsid w:val="000E2CB3"/>
    <w:rsid w:val="000F15C9"/>
    <w:rsid w:val="000F1961"/>
    <w:rsid w:val="00100A92"/>
    <w:rsid w:val="001035BE"/>
    <w:rsid w:val="001059D4"/>
    <w:rsid w:val="001062A6"/>
    <w:rsid w:val="00110BBC"/>
    <w:rsid w:val="00120C91"/>
    <w:rsid w:val="00123699"/>
    <w:rsid w:val="00124DD3"/>
    <w:rsid w:val="00131EF6"/>
    <w:rsid w:val="00136531"/>
    <w:rsid w:val="001437D5"/>
    <w:rsid w:val="001504C3"/>
    <w:rsid w:val="00151D18"/>
    <w:rsid w:val="00154BF0"/>
    <w:rsid w:val="00154E5A"/>
    <w:rsid w:val="0015743E"/>
    <w:rsid w:val="001610C3"/>
    <w:rsid w:val="00161E30"/>
    <w:rsid w:val="00165D84"/>
    <w:rsid w:val="001706D1"/>
    <w:rsid w:val="00171B50"/>
    <w:rsid w:val="00186475"/>
    <w:rsid w:val="00187629"/>
    <w:rsid w:val="0018775F"/>
    <w:rsid w:val="001909EF"/>
    <w:rsid w:val="001957C5"/>
    <w:rsid w:val="001A0ACD"/>
    <w:rsid w:val="001A132E"/>
    <w:rsid w:val="001A5E5A"/>
    <w:rsid w:val="001B16F6"/>
    <w:rsid w:val="001B3124"/>
    <w:rsid w:val="001B453D"/>
    <w:rsid w:val="001B4544"/>
    <w:rsid w:val="001B70CC"/>
    <w:rsid w:val="001B7B4D"/>
    <w:rsid w:val="001C010B"/>
    <w:rsid w:val="001C2FD7"/>
    <w:rsid w:val="001C30B3"/>
    <w:rsid w:val="001C3E9C"/>
    <w:rsid w:val="001C6473"/>
    <w:rsid w:val="001D5FE7"/>
    <w:rsid w:val="001D7397"/>
    <w:rsid w:val="001D7F04"/>
    <w:rsid w:val="001E2E55"/>
    <w:rsid w:val="001E2E6F"/>
    <w:rsid w:val="001E43C4"/>
    <w:rsid w:val="001E5BDF"/>
    <w:rsid w:val="001F1AA9"/>
    <w:rsid w:val="001F5C9A"/>
    <w:rsid w:val="001F7DC0"/>
    <w:rsid w:val="0020261D"/>
    <w:rsid w:val="002047F4"/>
    <w:rsid w:val="00213B36"/>
    <w:rsid w:val="00213B62"/>
    <w:rsid w:val="002160B4"/>
    <w:rsid w:val="002166EE"/>
    <w:rsid w:val="002202F9"/>
    <w:rsid w:val="002246A5"/>
    <w:rsid w:val="0022773D"/>
    <w:rsid w:val="00233E66"/>
    <w:rsid w:val="00240BF9"/>
    <w:rsid w:val="00241770"/>
    <w:rsid w:val="002436A9"/>
    <w:rsid w:val="00243FE0"/>
    <w:rsid w:val="00251154"/>
    <w:rsid w:val="0025382A"/>
    <w:rsid w:val="00255188"/>
    <w:rsid w:val="002551E0"/>
    <w:rsid w:val="00260917"/>
    <w:rsid w:val="002612BF"/>
    <w:rsid w:val="00265E6B"/>
    <w:rsid w:val="00266759"/>
    <w:rsid w:val="00271276"/>
    <w:rsid w:val="00271B5B"/>
    <w:rsid w:val="00274FF1"/>
    <w:rsid w:val="0027666B"/>
    <w:rsid w:val="00277030"/>
    <w:rsid w:val="0027740A"/>
    <w:rsid w:val="002838DA"/>
    <w:rsid w:val="00283A43"/>
    <w:rsid w:val="00284482"/>
    <w:rsid w:val="00284576"/>
    <w:rsid w:val="002902FA"/>
    <w:rsid w:val="002B111F"/>
    <w:rsid w:val="002B21DD"/>
    <w:rsid w:val="002B256E"/>
    <w:rsid w:val="002C1BD8"/>
    <w:rsid w:val="002C36DD"/>
    <w:rsid w:val="002D332F"/>
    <w:rsid w:val="002E3715"/>
    <w:rsid w:val="002F19B6"/>
    <w:rsid w:val="002F5893"/>
    <w:rsid w:val="002F60B8"/>
    <w:rsid w:val="00311D50"/>
    <w:rsid w:val="00312EEC"/>
    <w:rsid w:val="0032067C"/>
    <w:rsid w:val="00322EC0"/>
    <w:rsid w:val="00326BF0"/>
    <w:rsid w:val="003278BD"/>
    <w:rsid w:val="0033386A"/>
    <w:rsid w:val="00333A1A"/>
    <w:rsid w:val="003363C3"/>
    <w:rsid w:val="003372D5"/>
    <w:rsid w:val="00343138"/>
    <w:rsid w:val="00345B88"/>
    <w:rsid w:val="003475DE"/>
    <w:rsid w:val="003509EB"/>
    <w:rsid w:val="003550A3"/>
    <w:rsid w:val="00362A47"/>
    <w:rsid w:val="003648C6"/>
    <w:rsid w:val="00365C4D"/>
    <w:rsid w:val="00370876"/>
    <w:rsid w:val="00371217"/>
    <w:rsid w:val="00371E34"/>
    <w:rsid w:val="0037225A"/>
    <w:rsid w:val="00372C97"/>
    <w:rsid w:val="00381E2E"/>
    <w:rsid w:val="0038643F"/>
    <w:rsid w:val="003877EB"/>
    <w:rsid w:val="00387CA3"/>
    <w:rsid w:val="00397E44"/>
    <w:rsid w:val="003B0E1A"/>
    <w:rsid w:val="003C2FB9"/>
    <w:rsid w:val="003C57CB"/>
    <w:rsid w:val="003D6BBD"/>
    <w:rsid w:val="003E2F57"/>
    <w:rsid w:val="003E3323"/>
    <w:rsid w:val="003E4BAB"/>
    <w:rsid w:val="003F3292"/>
    <w:rsid w:val="003F32D3"/>
    <w:rsid w:val="003F47C3"/>
    <w:rsid w:val="003F5495"/>
    <w:rsid w:val="004005B7"/>
    <w:rsid w:val="00401A55"/>
    <w:rsid w:val="00406541"/>
    <w:rsid w:val="00413FCA"/>
    <w:rsid w:val="00415853"/>
    <w:rsid w:val="004216B9"/>
    <w:rsid w:val="00427A4A"/>
    <w:rsid w:val="00453358"/>
    <w:rsid w:val="004535BB"/>
    <w:rsid w:val="00454364"/>
    <w:rsid w:val="004614F0"/>
    <w:rsid w:val="00461687"/>
    <w:rsid w:val="004631BA"/>
    <w:rsid w:val="00464378"/>
    <w:rsid w:val="00464458"/>
    <w:rsid w:val="00465359"/>
    <w:rsid w:val="0046758B"/>
    <w:rsid w:val="00471031"/>
    <w:rsid w:val="0047175C"/>
    <w:rsid w:val="00472020"/>
    <w:rsid w:val="0048781D"/>
    <w:rsid w:val="00490CE3"/>
    <w:rsid w:val="004925BE"/>
    <w:rsid w:val="004939C0"/>
    <w:rsid w:val="00494C0B"/>
    <w:rsid w:val="00496A5C"/>
    <w:rsid w:val="00496B1C"/>
    <w:rsid w:val="004A2D2B"/>
    <w:rsid w:val="004A61C2"/>
    <w:rsid w:val="004C33D1"/>
    <w:rsid w:val="004C48ED"/>
    <w:rsid w:val="004C6334"/>
    <w:rsid w:val="004D0107"/>
    <w:rsid w:val="004D155E"/>
    <w:rsid w:val="004E25C4"/>
    <w:rsid w:val="004F3C31"/>
    <w:rsid w:val="004F7456"/>
    <w:rsid w:val="00514CCE"/>
    <w:rsid w:val="0052020E"/>
    <w:rsid w:val="005229C3"/>
    <w:rsid w:val="00532E59"/>
    <w:rsid w:val="00543150"/>
    <w:rsid w:val="005437CD"/>
    <w:rsid w:val="005471AD"/>
    <w:rsid w:val="00547FA3"/>
    <w:rsid w:val="00560ABF"/>
    <w:rsid w:val="00561F56"/>
    <w:rsid w:val="0057264F"/>
    <w:rsid w:val="00573CBC"/>
    <w:rsid w:val="00575F71"/>
    <w:rsid w:val="005769C3"/>
    <w:rsid w:val="00577B84"/>
    <w:rsid w:val="0058137E"/>
    <w:rsid w:val="005877FF"/>
    <w:rsid w:val="00595B05"/>
    <w:rsid w:val="005974E6"/>
    <w:rsid w:val="005A2323"/>
    <w:rsid w:val="005A5E90"/>
    <w:rsid w:val="005B0118"/>
    <w:rsid w:val="005C19C4"/>
    <w:rsid w:val="005C2EED"/>
    <w:rsid w:val="005C50DE"/>
    <w:rsid w:val="005D5A45"/>
    <w:rsid w:val="005E2116"/>
    <w:rsid w:val="005E2F01"/>
    <w:rsid w:val="005F07C6"/>
    <w:rsid w:val="005F57E3"/>
    <w:rsid w:val="005F6C1F"/>
    <w:rsid w:val="005F7C33"/>
    <w:rsid w:val="00603B34"/>
    <w:rsid w:val="00604FE2"/>
    <w:rsid w:val="006061F1"/>
    <w:rsid w:val="00606E70"/>
    <w:rsid w:val="00610769"/>
    <w:rsid w:val="00611098"/>
    <w:rsid w:val="00621528"/>
    <w:rsid w:val="00621CB6"/>
    <w:rsid w:val="00623CDE"/>
    <w:rsid w:val="006276DF"/>
    <w:rsid w:val="00630D37"/>
    <w:rsid w:val="00632B04"/>
    <w:rsid w:val="00641F8F"/>
    <w:rsid w:val="00644385"/>
    <w:rsid w:val="006452D5"/>
    <w:rsid w:val="00647B3C"/>
    <w:rsid w:val="0065117C"/>
    <w:rsid w:val="00651DA0"/>
    <w:rsid w:val="006549E6"/>
    <w:rsid w:val="00655BE1"/>
    <w:rsid w:val="00662055"/>
    <w:rsid w:val="006624FB"/>
    <w:rsid w:val="006709CF"/>
    <w:rsid w:val="00672FDF"/>
    <w:rsid w:val="00673113"/>
    <w:rsid w:val="006801F2"/>
    <w:rsid w:val="0068157E"/>
    <w:rsid w:val="00682A42"/>
    <w:rsid w:val="006853AE"/>
    <w:rsid w:val="00685C34"/>
    <w:rsid w:val="0069110F"/>
    <w:rsid w:val="0069457D"/>
    <w:rsid w:val="006A2B22"/>
    <w:rsid w:val="006A2DB0"/>
    <w:rsid w:val="006A3078"/>
    <w:rsid w:val="006B5544"/>
    <w:rsid w:val="006D05D4"/>
    <w:rsid w:val="006D6546"/>
    <w:rsid w:val="006E5C73"/>
    <w:rsid w:val="006E72E7"/>
    <w:rsid w:val="006F0B16"/>
    <w:rsid w:val="006F0FEB"/>
    <w:rsid w:val="006F2717"/>
    <w:rsid w:val="006F69AA"/>
    <w:rsid w:val="006F7368"/>
    <w:rsid w:val="006F7424"/>
    <w:rsid w:val="00702A01"/>
    <w:rsid w:val="007040CD"/>
    <w:rsid w:val="007175C8"/>
    <w:rsid w:val="00722CA9"/>
    <w:rsid w:val="00723782"/>
    <w:rsid w:val="007246E5"/>
    <w:rsid w:val="00730198"/>
    <w:rsid w:val="007307BB"/>
    <w:rsid w:val="00734B85"/>
    <w:rsid w:val="0074425D"/>
    <w:rsid w:val="00747E8C"/>
    <w:rsid w:val="007578D6"/>
    <w:rsid w:val="007635D9"/>
    <w:rsid w:val="00765F4D"/>
    <w:rsid w:val="00766B2A"/>
    <w:rsid w:val="00774D51"/>
    <w:rsid w:val="00775EF9"/>
    <w:rsid w:val="0077618C"/>
    <w:rsid w:val="00780164"/>
    <w:rsid w:val="00780A2C"/>
    <w:rsid w:val="007868D5"/>
    <w:rsid w:val="007910E3"/>
    <w:rsid w:val="007912DA"/>
    <w:rsid w:val="007938F3"/>
    <w:rsid w:val="00794688"/>
    <w:rsid w:val="00797A30"/>
    <w:rsid w:val="007A02F1"/>
    <w:rsid w:val="007A07EA"/>
    <w:rsid w:val="007B00FB"/>
    <w:rsid w:val="007B3BB0"/>
    <w:rsid w:val="007B3FB7"/>
    <w:rsid w:val="007C21F4"/>
    <w:rsid w:val="007C2909"/>
    <w:rsid w:val="007C7673"/>
    <w:rsid w:val="007C76A0"/>
    <w:rsid w:val="007E08B2"/>
    <w:rsid w:val="007E1B79"/>
    <w:rsid w:val="007E7F72"/>
    <w:rsid w:val="007F3F94"/>
    <w:rsid w:val="00805A5C"/>
    <w:rsid w:val="008069F0"/>
    <w:rsid w:val="00807233"/>
    <w:rsid w:val="0081251C"/>
    <w:rsid w:val="0082561B"/>
    <w:rsid w:val="00835D77"/>
    <w:rsid w:val="008428A9"/>
    <w:rsid w:val="00845704"/>
    <w:rsid w:val="00850D12"/>
    <w:rsid w:val="00855DE2"/>
    <w:rsid w:val="008560A3"/>
    <w:rsid w:val="00863BF2"/>
    <w:rsid w:val="0086797A"/>
    <w:rsid w:val="00874672"/>
    <w:rsid w:val="008756B8"/>
    <w:rsid w:val="00883642"/>
    <w:rsid w:val="0088629E"/>
    <w:rsid w:val="0088696B"/>
    <w:rsid w:val="00896939"/>
    <w:rsid w:val="008A1A81"/>
    <w:rsid w:val="008B29CB"/>
    <w:rsid w:val="008B4D39"/>
    <w:rsid w:val="008C562C"/>
    <w:rsid w:val="008C5A2E"/>
    <w:rsid w:val="008C633F"/>
    <w:rsid w:val="008C68DA"/>
    <w:rsid w:val="008C7FA7"/>
    <w:rsid w:val="008D20DA"/>
    <w:rsid w:val="008D3AD2"/>
    <w:rsid w:val="008D500F"/>
    <w:rsid w:val="008D6599"/>
    <w:rsid w:val="008E727A"/>
    <w:rsid w:val="008F4D9E"/>
    <w:rsid w:val="008F6F4E"/>
    <w:rsid w:val="008F7B52"/>
    <w:rsid w:val="00902996"/>
    <w:rsid w:val="00905D75"/>
    <w:rsid w:val="009142A3"/>
    <w:rsid w:val="00914656"/>
    <w:rsid w:val="0091503B"/>
    <w:rsid w:val="00923293"/>
    <w:rsid w:val="009314B0"/>
    <w:rsid w:val="00931D6C"/>
    <w:rsid w:val="00936613"/>
    <w:rsid w:val="00936BDF"/>
    <w:rsid w:val="00943C9F"/>
    <w:rsid w:val="00943FDD"/>
    <w:rsid w:val="0094598F"/>
    <w:rsid w:val="00946F02"/>
    <w:rsid w:val="00961119"/>
    <w:rsid w:val="00963E02"/>
    <w:rsid w:val="00965B73"/>
    <w:rsid w:val="0097076D"/>
    <w:rsid w:val="00977527"/>
    <w:rsid w:val="00987CA3"/>
    <w:rsid w:val="009A76C7"/>
    <w:rsid w:val="009B61BC"/>
    <w:rsid w:val="009B72C3"/>
    <w:rsid w:val="009C7598"/>
    <w:rsid w:val="009D2CE7"/>
    <w:rsid w:val="009D32D8"/>
    <w:rsid w:val="009D4491"/>
    <w:rsid w:val="009D706A"/>
    <w:rsid w:val="009F441E"/>
    <w:rsid w:val="00A0342A"/>
    <w:rsid w:val="00A04301"/>
    <w:rsid w:val="00A13959"/>
    <w:rsid w:val="00A2125E"/>
    <w:rsid w:val="00A27123"/>
    <w:rsid w:val="00A3171C"/>
    <w:rsid w:val="00A370ED"/>
    <w:rsid w:val="00A3734D"/>
    <w:rsid w:val="00A40361"/>
    <w:rsid w:val="00A41ACA"/>
    <w:rsid w:val="00A43264"/>
    <w:rsid w:val="00A44E2F"/>
    <w:rsid w:val="00A45B15"/>
    <w:rsid w:val="00A47805"/>
    <w:rsid w:val="00A47F0A"/>
    <w:rsid w:val="00A5396B"/>
    <w:rsid w:val="00A53F3A"/>
    <w:rsid w:val="00A540C8"/>
    <w:rsid w:val="00A54424"/>
    <w:rsid w:val="00A5480C"/>
    <w:rsid w:val="00A65C1E"/>
    <w:rsid w:val="00A70C39"/>
    <w:rsid w:val="00A85C0A"/>
    <w:rsid w:val="00A90321"/>
    <w:rsid w:val="00A93903"/>
    <w:rsid w:val="00A94481"/>
    <w:rsid w:val="00AA3AD8"/>
    <w:rsid w:val="00AA679C"/>
    <w:rsid w:val="00AB15CF"/>
    <w:rsid w:val="00AB44D4"/>
    <w:rsid w:val="00AB6E7B"/>
    <w:rsid w:val="00AC0466"/>
    <w:rsid w:val="00AC219F"/>
    <w:rsid w:val="00AC24C0"/>
    <w:rsid w:val="00AC34E6"/>
    <w:rsid w:val="00AC41A9"/>
    <w:rsid w:val="00AC53EE"/>
    <w:rsid w:val="00AC60AF"/>
    <w:rsid w:val="00AC7E27"/>
    <w:rsid w:val="00AD1575"/>
    <w:rsid w:val="00AD22EA"/>
    <w:rsid w:val="00AE558B"/>
    <w:rsid w:val="00AF1BD3"/>
    <w:rsid w:val="00B059C7"/>
    <w:rsid w:val="00B16A2B"/>
    <w:rsid w:val="00B22062"/>
    <w:rsid w:val="00B2423E"/>
    <w:rsid w:val="00B256B4"/>
    <w:rsid w:val="00B30EE5"/>
    <w:rsid w:val="00B31AF1"/>
    <w:rsid w:val="00B36428"/>
    <w:rsid w:val="00B36761"/>
    <w:rsid w:val="00B41B97"/>
    <w:rsid w:val="00B420DC"/>
    <w:rsid w:val="00B42E01"/>
    <w:rsid w:val="00B42F6B"/>
    <w:rsid w:val="00B4377E"/>
    <w:rsid w:val="00B439D7"/>
    <w:rsid w:val="00B45A73"/>
    <w:rsid w:val="00B478A5"/>
    <w:rsid w:val="00B51F1B"/>
    <w:rsid w:val="00B5561D"/>
    <w:rsid w:val="00B60606"/>
    <w:rsid w:val="00B6102F"/>
    <w:rsid w:val="00B62D36"/>
    <w:rsid w:val="00B63D12"/>
    <w:rsid w:val="00B63E53"/>
    <w:rsid w:val="00B6419A"/>
    <w:rsid w:val="00B72262"/>
    <w:rsid w:val="00B72495"/>
    <w:rsid w:val="00B753F6"/>
    <w:rsid w:val="00B91B1D"/>
    <w:rsid w:val="00B966F4"/>
    <w:rsid w:val="00BA6939"/>
    <w:rsid w:val="00BB5B8E"/>
    <w:rsid w:val="00BC16BA"/>
    <w:rsid w:val="00BC5BE0"/>
    <w:rsid w:val="00BD48DD"/>
    <w:rsid w:val="00BD7A8D"/>
    <w:rsid w:val="00BE0A14"/>
    <w:rsid w:val="00BE1F9F"/>
    <w:rsid w:val="00BE3D7D"/>
    <w:rsid w:val="00BE6AB5"/>
    <w:rsid w:val="00C002D4"/>
    <w:rsid w:val="00C0423E"/>
    <w:rsid w:val="00C054A9"/>
    <w:rsid w:val="00C05771"/>
    <w:rsid w:val="00C13AB3"/>
    <w:rsid w:val="00C210EB"/>
    <w:rsid w:val="00C23204"/>
    <w:rsid w:val="00C251EC"/>
    <w:rsid w:val="00C338F5"/>
    <w:rsid w:val="00C37884"/>
    <w:rsid w:val="00C40F01"/>
    <w:rsid w:val="00C42BAD"/>
    <w:rsid w:val="00C50767"/>
    <w:rsid w:val="00C557FC"/>
    <w:rsid w:val="00C57C86"/>
    <w:rsid w:val="00C617D8"/>
    <w:rsid w:val="00C76914"/>
    <w:rsid w:val="00C77769"/>
    <w:rsid w:val="00C837CA"/>
    <w:rsid w:val="00C83A79"/>
    <w:rsid w:val="00C87B86"/>
    <w:rsid w:val="00C94653"/>
    <w:rsid w:val="00C961F5"/>
    <w:rsid w:val="00CA0AAC"/>
    <w:rsid w:val="00CA62E7"/>
    <w:rsid w:val="00CB7657"/>
    <w:rsid w:val="00CC10D8"/>
    <w:rsid w:val="00CC1C1E"/>
    <w:rsid w:val="00CC2521"/>
    <w:rsid w:val="00CC6CC1"/>
    <w:rsid w:val="00CD1820"/>
    <w:rsid w:val="00CD2D1B"/>
    <w:rsid w:val="00CD3CC9"/>
    <w:rsid w:val="00CE2A9F"/>
    <w:rsid w:val="00CE72E2"/>
    <w:rsid w:val="00CE7946"/>
    <w:rsid w:val="00CF1D45"/>
    <w:rsid w:val="00CF1D8B"/>
    <w:rsid w:val="00CF4F60"/>
    <w:rsid w:val="00CF641B"/>
    <w:rsid w:val="00CF6B85"/>
    <w:rsid w:val="00D04150"/>
    <w:rsid w:val="00D05593"/>
    <w:rsid w:val="00D06A2C"/>
    <w:rsid w:val="00D06E00"/>
    <w:rsid w:val="00D10B05"/>
    <w:rsid w:val="00D133F4"/>
    <w:rsid w:val="00D13857"/>
    <w:rsid w:val="00D1608F"/>
    <w:rsid w:val="00D30865"/>
    <w:rsid w:val="00D31F1E"/>
    <w:rsid w:val="00D358A9"/>
    <w:rsid w:val="00D37A71"/>
    <w:rsid w:val="00D50302"/>
    <w:rsid w:val="00D5242B"/>
    <w:rsid w:val="00D52B36"/>
    <w:rsid w:val="00D5378F"/>
    <w:rsid w:val="00D53B47"/>
    <w:rsid w:val="00D54F07"/>
    <w:rsid w:val="00D61211"/>
    <w:rsid w:val="00D61D3A"/>
    <w:rsid w:val="00D65B8B"/>
    <w:rsid w:val="00D7325C"/>
    <w:rsid w:val="00D76008"/>
    <w:rsid w:val="00D77F86"/>
    <w:rsid w:val="00D8528B"/>
    <w:rsid w:val="00D929B5"/>
    <w:rsid w:val="00D97DDF"/>
    <w:rsid w:val="00DA202F"/>
    <w:rsid w:val="00DB0E69"/>
    <w:rsid w:val="00DB3F99"/>
    <w:rsid w:val="00DB4F4A"/>
    <w:rsid w:val="00DB564D"/>
    <w:rsid w:val="00DB6EED"/>
    <w:rsid w:val="00DC3CEF"/>
    <w:rsid w:val="00DC6B79"/>
    <w:rsid w:val="00DD7296"/>
    <w:rsid w:val="00DD7CF4"/>
    <w:rsid w:val="00DE0206"/>
    <w:rsid w:val="00DE2819"/>
    <w:rsid w:val="00DE52C6"/>
    <w:rsid w:val="00DE65A7"/>
    <w:rsid w:val="00DF6B24"/>
    <w:rsid w:val="00E0065F"/>
    <w:rsid w:val="00E200AD"/>
    <w:rsid w:val="00E20A88"/>
    <w:rsid w:val="00E219FE"/>
    <w:rsid w:val="00E230EC"/>
    <w:rsid w:val="00E23131"/>
    <w:rsid w:val="00E235CF"/>
    <w:rsid w:val="00E24DC3"/>
    <w:rsid w:val="00E27AF7"/>
    <w:rsid w:val="00E342CB"/>
    <w:rsid w:val="00E34800"/>
    <w:rsid w:val="00E350CD"/>
    <w:rsid w:val="00E4372A"/>
    <w:rsid w:val="00E43F6E"/>
    <w:rsid w:val="00E4782F"/>
    <w:rsid w:val="00E50634"/>
    <w:rsid w:val="00E539ED"/>
    <w:rsid w:val="00E60386"/>
    <w:rsid w:val="00E60C03"/>
    <w:rsid w:val="00E60D03"/>
    <w:rsid w:val="00E725E4"/>
    <w:rsid w:val="00E74382"/>
    <w:rsid w:val="00E74D15"/>
    <w:rsid w:val="00E77743"/>
    <w:rsid w:val="00E85E78"/>
    <w:rsid w:val="00E87D84"/>
    <w:rsid w:val="00E87F6F"/>
    <w:rsid w:val="00E9081C"/>
    <w:rsid w:val="00E92884"/>
    <w:rsid w:val="00EA2826"/>
    <w:rsid w:val="00EA3D07"/>
    <w:rsid w:val="00EA3E9D"/>
    <w:rsid w:val="00EA4E62"/>
    <w:rsid w:val="00EB7617"/>
    <w:rsid w:val="00EC6B81"/>
    <w:rsid w:val="00ED0A80"/>
    <w:rsid w:val="00ED15F2"/>
    <w:rsid w:val="00EE6B1F"/>
    <w:rsid w:val="00EF1E9A"/>
    <w:rsid w:val="00EF2295"/>
    <w:rsid w:val="00EF49B2"/>
    <w:rsid w:val="00EF6491"/>
    <w:rsid w:val="00EF7CC8"/>
    <w:rsid w:val="00F0178B"/>
    <w:rsid w:val="00F018DD"/>
    <w:rsid w:val="00F01C82"/>
    <w:rsid w:val="00F04F6D"/>
    <w:rsid w:val="00F11189"/>
    <w:rsid w:val="00F151EE"/>
    <w:rsid w:val="00F364AC"/>
    <w:rsid w:val="00F42018"/>
    <w:rsid w:val="00F4632B"/>
    <w:rsid w:val="00F565D8"/>
    <w:rsid w:val="00F61E3F"/>
    <w:rsid w:val="00F62A4E"/>
    <w:rsid w:val="00F65CB7"/>
    <w:rsid w:val="00F73B54"/>
    <w:rsid w:val="00F74FDF"/>
    <w:rsid w:val="00F759A6"/>
    <w:rsid w:val="00F76412"/>
    <w:rsid w:val="00F83651"/>
    <w:rsid w:val="00FA09E4"/>
    <w:rsid w:val="00FA2399"/>
    <w:rsid w:val="00FA34E4"/>
    <w:rsid w:val="00FB79E0"/>
    <w:rsid w:val="00FC1962"/>
    <w:rsid w:val="00FC430B"/>
    <w:rsid w:val="00FC44E6"/>
    <w:rsid w:val="00FC7747"/>
    <w:rsid w:val="00FE1968"/>
    <w:rsid w:val="00FE1DE3"/>
    <w:rsid w:val="00FE585D"/>
    <w:rsid w:val="00FF0BC8"/>
    <w:rsid w:val="00FF4AEC"/>
    <w:rsid w:val="00FF5739"/>
    <w:rsid w:val="00FF65AD"/>
    <w:rsid w:val="00FF79EF"/>
    <w:rsid w:val="203A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79D0E"/>
  <w15:chartTrackingRefBased/>
  <w15:docId w15:val="{49B9472A-915E-4E0E-8574-0BF95BA8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107E19"/>
    <w:rsid w:val="00107E19"/>
    <w:rsid w:val="00CA78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EB6FE7-374E-4D41-8AC3-B1E64ACA0048}"/>
</file>

<file path=customXml/itemProps2.xml><?xml version="1.0" encoding="utf-8"?>
<ds:datastoreItem xmlns:ds="http://schemas.openxmlformats.org/officeDocument/2006/customXml" ds:itemID="{A2584765-C775-4E9A-A155-6857721710E5}"/>
</file>

<file path=customXml/itemProps3.xml><?xml version="1.0" encoding="utf-8"?>
<ds:datastoreItem xmlns:ds="http://schemas.openxmlformats.org/officeDocument/2006/customXml" ds:itemID="{15F16DF1-2706-4212-BB07-B2F2966116F7}"/>
</file>

<file path=docProps/app.xml><?xml version="1.0" encoding="utf-8"?>
<Properties xmlns="http://schemas.openxmlformats.org/officeDocument/2006/extended-properties" xmlns:vt="http://schemas.openxmlformats.org/officeDocument/2006/docPropsVTypes">
  <Template>Normal.dotm</Template>
  <TotalTime>1</TotalTime>
  <Pages>4</Pages>
  <Words>1681</Words>
  <Characters>9083</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και Αθλητισμού Λίνας Μενδώνη στην παρουσίαση του Αρχαιολογικού Κτηματολογίου</dc:title>
  <dc:subject/>
  <dc:creator>Sotiris</dc:creator>
  <cp:keywords/>
  <dc:description/>
  <cp:lastModifiedBy>Γεωργία Μπούμη</cp:lastModifiedBy>
  <cp:revision>2</cp:revision>
  <cp:lastPrinted>2021-06-16T07:30:00Z</cp:lastPrinted>
  <dcterms:created xsi:type="dcterms:W3CDTF">2021-06-17T15:03:00Z</dcterms:created>
  <dcterms:modified xsi:type="dcterms:W3CDTF">2021-06-17T15:03:00Z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